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91" w:rsidRDefault="00151C63" w:rsidP="008519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</w:t>
      </w:r>
      <w:r w:rsidR="00851946">
        <w:rPr>
          <w:rFonts w:ascii="Arial" w:hAnsi="Arial" w:cs="Arial"/>
          <w:b/>
        </w:rPr>
        <w:t xml:space="preserve"> NYS</w:t>
      </w:r>
      <w:r w:rsidR="00336091">
        <w:rPr>
          <w:rFonts w:ascii="Arial" w:hAnsi="Arial" w:cs="Arial"/>
          <w:b/>
        </w:rPr>
        <w:t xml:space="preserve"> Medicare Part D Benchmark*</w:t>
      </w:r>
      <w:r w:rsidR="00851946">
        <w:rPr>
          <w:rFonts w:ascii="Arial" w:hAnsi="Arial" w:cs="Arial"/>
          <w:b/>
        </w:rPr>
        <w:t>*</w:t>
      </w:r>
      <w:r w:rsidR="005072EA">
        <w:rPr>
          <w:rFonts w:ascii="Arial" w:hAnsi="Arial" w:cs="Arial"/>
          <w:b/>
        </w:rPr>
        <w:t xml:space="preserve"> BASIC</w:t>
      </w:r>
      <w:r w:rsidR="005072EA">
        <w:rPr>
          <w:rStyle w:val="FootnoteReference"/>
          <w:rFonts w:ascii="Arial" w:hAnsi="Arial" w:cs="Arial"/>
          <w:b/>
        </w:rPr>
        <w:footnoteReference w:id="1"/>
      </w:r>
      <w:r w:rsidR="00851946">
        <w:rPr>
          <w:rFonts w:ascii="Arial" w:hAnsi="Arial" w:cs="Arial"/>
          <w:b/>
        </w:rPr>
        <w:t xml:space="preserve"> Prescription Drug Plans (PDP)</w:t>
      </w:r>
      <w:r>
        <w:rPr>
          <w:rFonts w:ascii="Arial" w:hAnsi="Arial" w:cs="Arial"/>
          <w:b/>
        </w:rPr>
        <w:t>, with Changes from 2019</w:t>
      </w:r>
    </w:p>
    <w:p w:rsidR="00336091" w:rsidRDefault="00B953DC" w:rsidP="008519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36091">
        <w:rPr>
          <w:rFonts w:ascii="Arial" w:hAnsi="Arial" w:cs="Arial"/>
          <w:b/>
        </w:rPr>
        <w:t xml:space="preserve"> Plans with FREE PREMIUMS for People with</w:t>
      </w:r>
      <w:r w:rsidR="005072EA">
        <w:rPr>
          <w:rFonts w:ascii="Arial" w:hAnsi="Arial" w:cs="Arial"/>
          <w:b/>
        </w:rPr>
        <w:t xml:space="preserve"> FULL</w:t>
      </w:r>
      <w:r w:rsidR="00336091">
        <w:rPr>
          <w:rFonts w:ascii="Arial" w:hAnsi="Arial" w:cs="Arial"/>
          <w:b/>
        </w:rPr>
        <w:t xml:space="preserve"> Extra Help</w:t>
      </w:r>
    </w:p>
    <w:p w:rsidR="00851946" w:rsidRPr="00851946" w:rsidRDefault="00851946" w:rsidP="0085194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395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240"/>
        <w:gridCol w:w="2970"/>
        <w:gridCol w:w="2250"/>
        <w:gridCol w:w="2430"/>
      </w:tblGrid>
      <w:tr w:rsidR="006E2536" w:rsidTr="006E2536">
        <w:trPr>
          <w:trHeight w:val="593"/>
          <w:tblHeader/>
        </w:trPr>
        <w:tc>
          <w:tcPr>
            <w:tcW w:w="720" w:type="dxa"/>
          </w:tcPr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3240" w:type="dxa"/>
            <w:vAlign w:val="center"/>
          </w:tcPr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 Name</w:t>
            </w:r>
          </w:p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6E2536" w:rsidRPr="00E04837" w:rsidRDefault="006E2536" w:rsidP="008B219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from 201</w:t>
            </w:r>
            <w:r w:rsidR="00151C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 </w:t>
            </w: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to 20</w:t>
            </w:r>
            <w:r w:rsidR="00151C6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E2536" w:rsidRPr="00E04837" w:rsidRDefault="006E2536" w:rsidP="006E25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Premium</w:t>
            </w: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if do not have </w:t>
            </w: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Extra Help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/Medicaid/MSP</w:t>
            </w: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30" w:type="dxa"/>
            <w:vAlign w:val="center"/>
          </w:tcPr>
          <w:p w:rsidR="006E2536" w:rsidRPr="00E04837" w:rsidRDefault="006E2536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Tel.</w:t>
            </w:r>
          </w:p>
        </w:tc>
      </w:tr>
      <w:tr w:rsidR="00B953DC" w:rsidTr="006E2536">
        <w:trPr>
          <w:cantSplit/>
          <w:trHeight w:val="521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CIGNA-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HealthSpring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Rx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Cigna-</w:t>
            </w:r>
            <w:proofErr w:type="spellStart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Healthspring</w:t>
            </w:r>
            <w:proofErr w:type="spellEnd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Rx Secure (PDP)</w:t>
            </w:r>
          </w:p>
        </w:tc>
        <w:tc>
          <w:tcPr>
            <w:tcW w:w="2970" w:type="dxa"/>
            <w:vAlign w:val="center"/>
          </w:tcPr>
          <w:p w:rsidR="00B953DC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Remains benchmark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$37.90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(800) 735-1459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EnvisionRx</w:t>
            </w:r>
            <w:proofErr w:type="spellEnd"/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EnvisionRxPlus</w:t>
            </w:r>
            <w:proofErr w:type="spellEnd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Remains</w:t>
            </w: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benchmark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$37.50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tabs>
                <w:tab w:val="left" w:pos="4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837">
              <w:rPr>
                <w:rFonts w:ascii="Arial" w:hAnsi="Arial" w:cs="Arial"/>
                <w:sz w:val="18"/>
                <w:szCs w:val="18"/>
              </w:rPr>
              <w:t>(866) 250-2005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Express Scripts Medicare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Express Scripts Medicare - Value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Remains benchmark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$35.50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837">
              <w:rPr>
                <w:rFonts w:ascii="Arial" w:hAnsi="Arial" w:cs="Arial"/>
                <w:sz w:val="18"/>
                <w:szCs w:val="18"/>
              </w:rPr>
              <w:t>(800) 758-3605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 xml:space="preserve">Humana 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B953D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Humana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Basic</w:t>
            </w: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Rx Plan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Formerly Humana Preferred Rx Plan (PDP)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B953D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$37.30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(800) 281-6918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MII Life Insurance, Inc. 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B953D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Journey Rx Standard (PDP)</w:t>
            </w:r>
          </w:p>
        </w:tc>
        <w:tc>
          <w:tcPr>
            <w:tcW w:w="2970" w:type="dxa"/>
            <w:vAlign w:val="center"/>
          </w:tcPr>
          <w:p w:rsidR="00B953DC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Default="00B953DC" w:rsidP="00B953D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$32.80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(888) 757-7530</w:t>
            </w:r>
          </w:p>
        </w:tc>
      </w:tr>
      <w:tr w:rsidR="00B953DC" w:rsidTr="006E2536">
        <w:trPr>
          <w:cantSplit/>
          <w:trHeight w:val="534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253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Magellan Rx Medicare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Magellan Rx Medicare Basic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Remains benchmark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$35.8</w:t>
            </w:r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0" w:type="dxa"/>
            <w:vAlign w:val="center"/>
          </w:tcPr>
          <w:p w:rsidR="00B953DC" w:rsidRDefault="00B953DC" w:rsidP="00757B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53DC" w:rsidRPr="00476AC9" w:rsidRDefault="00B953DC" w:rsidP="00757B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</w:pPr>
            <w:r w:rsidRPr="00476AC9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(800) 450-7281</w:t>
            </w:r>
          </w:p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53DC" w:rsidTr="006E2536">
        <w:trPr>
          <w:cantSplit/>
          <w:trHeight w:val="435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2536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SilverScript</w:t>
            </w:r>
            <w:proofErr w:type="spellEnd"/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SilverScript</w:t>
            </w:r>
            <w:proofErr w:type="spellEnd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Choice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 xml:space="preserve">Remains benchmark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$34.80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(866) 552-6106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253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WellCare</w:t>
            </w:r>
            <w:proofErr w:type="spellEnd"/>
          </w:p>
        </w:tc>
        <w:tc>
          <w:tcPr>
            <w:tcW w:w="324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WellCare</w:t>
            </w:r>
            <w:proofErr w:type="spellEnd"/>
            <w:r w:rsidRPr="00E0483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Classic (PDP)</w:t>
            </w:r>
          </w:p>
        </w:tc>
        <w:tc>
          <w:tcPr>
            <w:tcW w:w="297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Remains benchmark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$35.40</w:t>
            </w:r>
          </w:p>
        </w:tc>
        <w:tc>
          <w:tcPr>
            <w:tcW w:w="2430" w:type="dxa"/>
            <w:vAlign w:val="center"/>
          </w:tcPr>
          <w:p w:rsidR="00B953DC" w:rsidRPr="00E04837" w:rsidRDefault="00B953DC" w:rsidP="00757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837">
              <w:rPr>
                <w:rFonts w:ascii="Arial" w:hAnsi="Arial" w:cs="Arial"/>
                <w:color w:val="000000"/>
                <w:sz w:val="18"/>
                <w:szCs w:val="18"/>
              </w:rPr>
              <w:t>(866) 765-4390</w:t>
            </w:r>
          </w:p>
        </w:tc>
      </w:tr>
      <w:tr w:rsidR="00B953DC" w:rsidTr="006E2536">
        <w:trPr>
          <w:cantSplit/>
          <w:trHeight w:val="510"/>
        </w:trPr>
        <w:tc>
          <w:tcPr>
            <w:tcW w:w="720" w:type="dxa"/>
            <w:vAlign w:val="center"/>
          </w:tcPr>
          <w:p w:rsidR="00B953DC" w:rsidRPr="006E2536" w:rsidRDefault="00B953DC" w:rsidP="006E253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53DC" w:rsidRPr="00E04837" w:rsidRDefault="00B953DC" w:rsidP="001D41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WellCare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:rsidR="00B953DC" w:rsidRPr="00E04837" w:rsidRDefault="00B953DC" w:rsidP="001D41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WellCare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Medicare Saver Rx (PDP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53DC" w:rsidRPr="00E04837" w:rsidRDefault="00B953DC" w:rsidP="001D41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Formerly Aetna Medicare Saver Rx (PDP)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53DC" w:rsidRPr="00E04837" w:rsidRDefault="00B953DC" w:rsidP="009201F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$38.00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953DC" w:rsidRPr="00E04837" w:rsidRDefault="00B953DC" w:rsidP="001D41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(877) 247-6272</w:t>
            </w:r>
          </w:p>
        </w:tc>
      </w:tr>
    </w:tbl>
    <w:p w:rsidR="001D411F" w:rsidRPr="001D411F" w:rsidRDefault="001D411F" w:rsidP="001D411F">
      <w:pPr>
        <w:autoSpaceDE w:val="0"/>
        <w:autoSpaceDN w:val="0"/>
        <w:adjustRightInd w:val="0"/>
        <w:spacing w:after="100"/>
        <w:rPr>
          <w:rFonts w:ascii="Arial" w:hAnsi="Arial" w:cs="Arial"/>
          <w:sz w:val="12"/>
          <w:szCs w:val="12"/>
        </w:rPr>
      </w:pPr>
    </w:p>
    <w:p w:rsidR="006E2536" w:rsidRPr="006E2536" w:rsidRDefault="00151C63" w:rsidP="006E253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B953DC">
        <w:rPr>
          <w:rFonts w:ascii="Arial" w:hAnsi="Arial" w:cs="Arial"/>
          <w:b/>
          <w:sz w:val="20"/>
          <w:szCs w:val="20"/>
        </w:rPr>
        <w:t>2020</w:t>
      </w:r>
      <w:r w:rsidR="009201F3" w:rsidRPr="00B953DC">
        <w:rPr>
          <w:rFonts w:ascii="Arial" w:hAnsi="Arial" w:cs="Arial"/>
          <w:b/>
          <w:sz w:val="20"/>
          <w:szCs w:val="20"/>
        </w:rPr>
        <w:t xml:space="preserve"> Benchmark Premium </w:t>
      </w:r>
      <w:r w:rsidR="002D6663" w:rsidRPr="00B953DC">
        <w:rPr>
          <w:rFonts w:ascii="Arial" w:hAnsi="Arial" w:cs="Arial"/>
          <w:b/>
          <w:sz w:val="20"/>
          <w:szCs w:val="20"/>
        </w:rPr>
        <w:t>$</w:t>
      </w:r>
      <w:r w:rsidRPr="00B953DC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>.55</w:t>
      </w:r>
      <w:r w:rsidR="001C7C20">
        <w:rPr>
          <w:rFonts w:ascii="Arial" w:hAnsi="Arial" w:cs="Arial"/>
          <w:b/>
          <w:sz w:val="20"/>
          <w:szCs w:val="20"/>
        </w:rPr>
        <w:t xml:space="preserve">, </w:t>
      </w:r>
      <w:r w:rsidR="00336091" w:rsidRPr="006E09C1">
        <w:rPr>
          <w:rFonts w:ascii="Arial" w:hAnsi="Arial" w:cs="Arial"/>
          <w:b/>
          <w:sz w:val="20"/>
          <w:szCs w:val="20"/>
        </w:rPr>
        <w:t xml:space="preserve">BENCHMARK plans are </w:t>
      </w:r>
      <w:r w:rsidR="006E09C1" w:rsidRPr="006E09C1">
        <w:rPr>
          <w:rFonts w:ascii="Arial" w:hAnsi="Arial" w:cs="Arial"/>
          <w:b/>
          <w:sz w:val="20"/>
          <w:szCs w:val="20"/>
        </w:rPr>
        <w:t xml:space="preserve">“basic” plans </w:t>
      </w:r>
      <w:r w:rsidR="00336091" w:rsidRPr="006E09C1">
        <w:rPr>
          <w:rFonts w:ascii="Arial" w:hAnsi="Arial" w:cs="Arial"/>
          <w:b/>
          <w:sz w:val="20"/>
          <w:szCs w:val="20"/>
        </w:rPr>
        <w:t>with premiums below this “benchmark” set each year by CMS</w:t>
      </w:r>
      <w:r w:rsidR="006E09C1">
        <w:rPr>
          <w:rFonts w:ascii="Arial" w:hAnsi="Arial" w:cs="Arial"/>
          <w:b/>
          <w:sz w:val="20"/>
          <w:szCs w:val="20"/>
        </w:rPr>
        <w:t xml:space="preserve">. </w:t>
      </w:r>
      <w:r w:rsidR="00336091" w:rsidRPr="006E09C1">
        <w:rPr>
          <w:rFonts w:ascii="Arial" w:hAnsi="Arial" w:cs="Arial"/>
          <w:b/>
          <w:sz w:val="20"/>
          <w:szCs w:val="20"/>
        </w:rPr>
        <w:t xml:space="preserve"> </w:t>
      </w:r>
    </w:p>
    <w:p w:rsidR="006E09C1" w:rsidRPr="006E09C1" w:rsidRDefault="006E09C1" w:rsidP="006E253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6E09C1">
        <w:rPr>
          <w:rFonts w:ascii="Arial" w:hAnsi="Arial" w:cs="Arial"/>
          <w:sz w:val="20"/>
          <w:szCs w:val="20"/>
        </w:rPr>
        <w:t>All benchmark plans</w:t>
      </w:r>
      <w:r w:rsidRPr="006E09C1">
        <w:rPr>
          <w:rFonts w:ascii="Arial" w:hAnsi="Arial" w:cs="Arial"/>
          <w:b/>
          <w:sz w:val="20"/>
          <w:szCs w:val="20"/>
        </w:rPr>
        <w:t xml:space="preserve"> </w:t>
      </w:r>
      <w:r w:rsidR="00336091" w:rsidRPr="006E09C1">
        <w:rPr>
          <w:rFonts w:ascii="Arial" w:hAnsi="Arial" w:cs="Arial"/>
          <w:sz w:val="20"/>
          <w:szCs w:val="20"/>
        </w:rPr>
        <w:t>are free fo</w:t>
      </w:r>
      <w:r w:rsidR="00394224" w:rsidRPr="006E09C1">
        <w:rPr>
          <w:rFonts w:ascii="Arial" w:hAnsi="Arial" w:cs="Arial"/>
          <w:sz w:val="20"/>
          <w:szCs w:val="20"/>
        </w:rPr>
        <w:t>r people with Extra Help</w:t>
      </w:r>
      <w:r w:rsidRPr="006E09C1">
        <w:rPr>
          <w:rFonts w:ascii="Arial" w:hAnsi="Arial" w:cs="Arial"/>
          <w:sz w:val="20"/>
          <w:szCs w:val="20"/>
        </w:rPr>
        <w:t xml:space="preserve"> – including those with Medicaid or Medicare Savings Program. </w:t>
      </w:r>
      <w:r w:rsidR="006E2536">
        <w:rPr>
          <w:rFonts w:ascii="Arial" w:hAnsi="Arial" w:cs="Arial"/>
          <w:sz w:val="20"/>
          <w:szCs w:val="20"/>
        </w:rPr>
        <w:br/>
      </w:r>
      <w:r w:rsidRPr="006E09C1">
        <w:rPr>
          <w:rFonts w:ascii="Arial" w:hAnsi="Arial" w:cs="Arial"/>
          <w:sz w:val="20"/>
          <w:szCs w:val="20"/>
        </w:rPr>
        <w:t>Anyone with Extra Help is</w:t>
      </w:r>
      <w:r w:rsidR="00336091" w:rsidRPr="006E09C1">
        <w:rPr>
          <w:rFonts w:ascii="Arial" w:hAnsi="Arial" w:cs="Arial"/>
          <w:sz w:val="20"/>
          <w:szCs w:val="20"/>
        </w:rPr>
        <w:t xml:space="preserve"> randomly assigned to</w:t>
      </w:r>
      <w:bookmarkStart w:id="0" w:name="_GoBack"/>
      <w:bookmarkEnd w:id="0"/>
      <w:r w:rsidRPr="006E09C1">
        <w:rPr>
          <w:rFonts w:ascii="Arial" w:hAnsi="Arial" w:cs="Arial"/>
          <w:sz w:val="20"/>
          <w:szCs w:val="20"/>
        </w:rPr>
        <w:t xml:space="preserve"> benchmark</w:t>
      </w:r>
      <w:r w:rsidR="00336091" w:rsidRPr="006E09C1">
        <w:rPr>
          <w:rFonts w:ascii="Arial" w:hAnsi="Arial" w:cs="Arial"/>
          <w:sz w:val="20"/>
          <w:szCs w:val="20"/>
        </w:rPr>
        <w:t xml:space="preserve"> plans if they don’t select</w:t>
      </w:r>
      <w:r w:rsidRPr="006E09C1">
        <w:rPr>
          <w:rFonts w:ascii="Arial" w:hAnsi="Arial" w:cs="Arial"/>
          <w:sz w:val="20"/>
          <w:szCs w:val="20"/>
        </w:rPr>
        <w:t xml:space="preserve"> any plan.   </w:t>
      </w:r>
    </w:p>
    <w:p w:rsidR="00987E53" w:rsidRPr="006E2536" w:rsidRDefault="00D55A55" w:rsidP="006E25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0"/>
      </w:pPr>
      <w:r>
        <w:rPr>
          <w:rFonts w:ascii="Arial" w:hAnsi="Arial" w:cs="Arial"/>
          <w:b/>
          <w:sz w:val="20"/>
          <w:szCs w:val="20"/>
        </w:rPr>
        <w:t xml:space="preserve">Download samples of </w:t>
      </w:r>
      <w:r w:rsidR="00AF0497" w:rsidRPr="00D55A55">
        <w:rPr>
          <w:rFonts w:ascii="Arial" w:hAnsi="Arial" w:cs="Arial"/>
          <w:b/>
          <w:sz w:val="20"/>
          <w:szCs w:val="20"/>
        </w:rPr>
        <w:t>CMS reassignment</w:t>
      </w:r>
      <w:r w:rsidR="00E2434E" w:rsidRPr="00D55A55">
        <w:rPr>
          <w:rFonts w:ascii="Arial" w:hAnsi="Arial" w:cs="Arial"/>
          <w:b/>
          <w:sz w:val="20"/>
          <w:szCs w:val="20"/>
        </w:rPr>
        <w:t xml:space="preserve"> notices</w:t>
      </w:r>
      <w:r w:rsidR="006F46F9" w:rsidRPr="00D55A55">
        <w:rPr>
          <w:rFonts w:ascii="Arial" w:hAnsi="Arial" w:cs="Arial"/>
          <w:b/>
          <w:sz w:val="20"/>
          <w:szCs w:val="20"/>
        </w:rPr>
        <w:t xml:space="preserve">: </w:t>
      </w:r>
      <w:hyperlink r:id="rId9" w:history="1">
        <w:r w:rsidR="006E2536" w:rsidRPr="00483D88">
          <w:rPr>
            <w:rStyle w:val="Hyperlink"/>
            <w:rFonts w:ascii="Arial" w:hAnsi="Arial" w:cs="Arial"/>
            <w:b/>
            <w:sz w:val="20"/>
            <w:szCs w:val="20"/>
          </w:rPr>
          <w:t>https://www.medicare.gov/forms-help-and-resources/mail-about-medicare/mail-about-</w:t>
        </w:r>
        <w:r w:rsidR="006E2536" w:rsidRPr="00483D88">
          <w:rPr>
            <w:rStyle w:val="Hyperlink"/>
            <w:rFonts w:ascii="Arial" w:hAnsi="Arial" w:cs="Arial"/>
            <w:b/>
            <w:sz w:val="20"/>
            <w:szCs w:val="20"/>
          </w:rPr>
          <w:br/>
          <w:t>medicare.html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6E2536" w:rsidRDefault="006E2536" w:rsidP="006E2536">
      <w:pPr>
        <w:autoSpaceDE w:val="0"/>
        <w:autoSpaceDN w:val="0"/>
        <w:adjustRightInd w:val="0"/>
        <w:spacing w:after="100"/>
      </w:pPr>
    </w:p>
    <w:p w:rsidR="006E2536" w:rsidRDefault="006E2536" w:rsidP="00F87262">
      <w:pPr>
        <w:rPr>
          <w:rFonts w:ascii="Arial" w:hAnsi="Arial" w:cs="Arial"/>
          <w:sz w:val="20"/>
          <w:szCs w:val="20"/>
        </w:rPr>
      </w:pPr>
    </w:p>
    <w:p w:rsidR="00987E53" w:rsidRPr="00F87262" w:rsidRDefault="00B953DC" w:rsidP="00F872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Oct. 2, 2019</w:t>
      </w:r>
      <w:r w:rsidR="00F87262" w:rsidRPr="00F87262">
        <w:rPr>
          <w:rFonts w:ascii="Arial" w:hAnsi="Arial" w:cs="Arial"/>
          <w:sz w:val="20"/>
          <w:szCs w:val="20"/>
        </w:rPr>
        <w:tab/>
      </w:r>
      <w:r w:rsidR="00F87262">
        <w:rPr>
          <w:rFonts w:ascii="Arial" w:hAnsi="Arial" w:cs="Arial"/>
          <w:sz w:val="20"/>
          <w:szCs w:val="20"/>
        </w:rPr>
        <w:tab/>
      </w:r>
      <w:hyperlink r:id="rId10" w:history="1">
        <w:r w:rsidR="00F87262" w:rsidRPr="00F87262">
          <w:rPr>
            <w:rStyle w:val="Hyperlink"/>
            <w:rFonts w:ascii="Arial" w:hAnsi="Arial" w:cs="Arial"/>
            <w:sz w:val="20"/>
            <w:szCs w:val="20"/>
          </w:rPr>
          <w:t>EFLRP@nylag.org</w:t>
        </w:r>
      </w:hyperlink>
      <w:r w:rsidR="00F87262">
        <w:rPr>
          <w:rFonts w:ascii="Arial" w:hAnsi="Arial" w:cs="Arial"/>
          <w:sz w:val="20"/>
          <w:szCs w:val="20"/>
        </w:rPr>
        <w:tab/>
      </w:r>
      <w:r w:rsidR="00F87262" w:rsidRPr="00F87262">
        <w:rPr>
          <w:rFonts w:ascii="Arial" w:hAnsi="Arial" w:cs="Arial"/>
          <w:sz w:val="20"/>
          <w:szCs w:val="20"/>
        </w:rPr>
        <w:t xml:space="preserve"> </w:t>
      </w:r>
      <w:r w:rsidR="00F87262">
        <w:rPr>
          <w:rFonts w:ascii="Arial" w:hAnsi="Arial" w:cs="Arial"/>
          <w:sz w:val="20"/>
          <w:szCs w:val="20"/>
        </w:rPr>
        <w:tab/>
      </w:r>
      <w:r w:rsidR="00F87262">
        <w:rPr>
          <w:rFonts w:ascii="Arial" w:hAnsi="Arial" w:cs="Arial"/>
          <w:sz w:val="20"/>
          <w:szCs w:val="20"/>
        </w:rPr>
        <w:tab/>
      </w:r>
      <w:r w:rsidR="00994738">
        <w:rPr>
          <w:rFonts w:ascii="Arial" w:hAnsi="Arial" w:cs="Arial"/>
          <w:sz w:val="20"/>
          <w:szCs w:val="20"/>
        </w:rPr>
        <w:t xml:space="preserve">Intake </w:t>
      </w:r>
      <w:proofErr w:type="gramStart"/>
      <w:r w:rsidR="00994738">
        <w:rPr>
          <w:rFonts w:ascii="Arial" w:hAnsi="Arial" w:cs="Arial"/>
          <w:sz w:val="20"/>
          <w:szCs w:val="20"/>
        </w:rPr>
        <w:t xml:space="preserve">Number </w:t>
      </w:r>
      <w:r w:rsidR="00F87262" w:rsidRPr="00F87262">
        <w:rPr>
          <w:rFonts w:ascii="Arial" w:hAnsi="Arial" w:cs="Arial"/>
          <w:sz w:val="20"/>
          <w:szCs w:val="20"/>
        </w:rPr>
        <w:t xml:space="preserve"> (</w:t>
      </w:r>
      <w:proofErr w:type="gramEnd"/>
      <w:r w:rsidR="00F87262" w:rsidRPr="00F87262">
        <w:rPr>
          <w:rFonts w:ascii="Arial" w:hAnsi="Arial" w:cs="Arial"/>
          <w:sz w:val="20"/>
          <w:szCs w:val="20"/>
        </w:rPr>
        <w:t>212) 613–7310</w:t>
      </w:r>
      <w:r w:rsidR="00F87262">
        <w:rPr>
          <w:rFonts w:ascii="Arial" w:hAnsi="Arial" w:cs="Arial"/>
          <w:sz w:val="20"/>
          <w:szCs w:val="20"/>
        </w:rPr>
        <w:tab/>
      </w:r>
      <w:r w:rsidR="00F87262" w:rsidRPr="00F87262">
        <w:rPr>
          <w:rFonts w:ascii="Arial" w:hAnsi="Arial" w:cs="Arial"/>
          <w:sz w:val="20"/>
          <w:szCs w:val="20"/>
        </w:rPr>
        <w:t xml:space="preserve"> </w:t>
      </w:r>
      <w:r w:rsidR="00F87262">
        <w:rPr>
          <w:rFonts w:ascii="Arial" w:hAnsi="Arial" w:cs="Arial"/>
          <w:sz w:val="20"/>
          <w:szCs w:val="20"/>
        </w:rPr>
        <w:tab/>
      </w:r>
      <w:r w:rsidR="00F87262">
        <w:rPr>
          <w:rFonts w:ascii="Arial" w:hAnsi="Arial" w:cs="Arial"/>
          <w:sz w:val="20"/>
          <w:szCs w:val="20"/>
        </w:rPr>
        <w:tab/>
      </w:r>
      <w:r w:rsidR="00F87262" w:rsidRPr="00F87262">
        <w:rPr>
          <w:rFonts w:ascii="Arial" w:hAnsi="Arial" w:cs="Arial"/>
          <w:sz w:val="20"/>
          <w:szCs w:val="20"/>
        </w:rPr>
        <w:t>N</w:t>
      </w:r>
      <w:r w:rsidR="00987E53" w:rsidRPr="00F87262">
        <w:rPr>
          <w:rFonts w:ascii="Arial" w:hAnsi="Arial" w:cs="Arial"/>
          <w:sz w:val="20"/>
          <w:szCs w:val="20"/>
        </w:rPr>
        <w:t>ew York Legal Assistance Group</w:t>
      </w:r>
      <w:r w:rsidR="00020AE8" w:rsidRPr="00F87262">
        <w:rPr>
          <w:rFonts w:ascii="Arial" w:hAnsi="Arial" w:cs="Arial"/>
          <w:sz w:val="20"/>
          <w:szCs w:val="20"/>
        </w:rPr>
        <w:t xml:space="preserve"> </w:t>
      </w:r>
    </w:p>
    <w:sectPr w:rsidR="00987E53" w:rsidRPr="00F87262" w:rsidSect="00E2434E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10" w:rsidRDefault="00293F10">
      <w:r>
        <w:separator/>
      </w:r>
    </w:p>
  </w:endnote>
  <w:endnote w:type="continuationSeparator" w:id="0">
    <w:p w:rsidR="00293F10" w:rsidRDefault="002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10" w:rsidRDefault="00293F10">
      <w:r>
        <w:separator/>
      </w:r>
    </w:p>
  </w:footnote>
  <w:footnote w:type="continuationSeparator" w:id="0">
    <w:p w:rsidR="00293F10" w:rsidRDefault="00293F10">
      <w:r>
        <w:continuationSeparator/>
      </w:r>
    </w:p>
  </w:footnote>
  <w:footnote w:id="1">
    <w:p w:rsidR="005072EA" w:rsidRPr="005072EA" w:rsidRDefault="005072EA">
      <w:pPr>
        <w:pStyle w:val="FootnoteText"/>
        <w:rPr>
          <w:rFonts w:ascii="Arial" w:hAnsi="Arial" w:cs="Arial"/>
        </w:rPr>
      </w:pPr>
      <w:r w:rsidRPr="005072EA">
        <w:rPr>
          <w:rStyle w:val="FootnoteReference"/>
          <w:rFonts w:ascii="Arial" w:hAnsi="Arial" w:cs="Arial"/>
        </w:rPr>
        <w:footnoteRef/>
      </w:r>
      <w:r w:rsidRPr="005072EA">
        <w:rPr>
          <w:rFonts w:ascii="Arial" w:hAnsi="Arial" w:cs="Arial"/>
        </w:rPr>
        <w:t xml:space="preserve"> Benchmark plans are BASIC plans with premiums below the benchmark premium. There are </w:t>
      </w:r>
      <w:r w:rsidR="006E09C1">
        <w:rPr>
          <w:rFonts w:ascii="Arial" w:hAnsi="Arial" w:cs="Arial"/>
        </w:rPr>
        <w:t>“</w:t>
      </w:r>
      <w:r w:rsidRPr="005072EA">
        <w:rPr>
          <w:rFonts w:ascii="Arial" w:hAnsi="Arial" w:cs="Arial"/>
        </w:rPr>
        <w:t>enhanced plans</w:t>
      </w:r>
      <w:r w:rsidR="006E09C1">
        <w:rPr>
          <w:rFonts w:ascii="Arial" w:hAnsi="Arial" w:cs="Arial"/>
        </w:rPr>
        <w:t>”</w:t>
      </w:r>
      <w:r w:rsidRPr="005072EA">
        <w:rPr>
          <w:rFonts w:ascii="Arial" w:hAnsi="Arial" w:cs="Arial"/>
        </w:rPr>
        <w:t xml:space="preserve"> with premiums below the </w:t>
      </w:r>
      <w:r w:rsidR="006E09C1">
        <w:rPr>
          <w:rFonts w:ascii="Arial" w:hAnsi="Arial" w:cs="Arial"/>
        </w:rPr>
        <w:t xml:space="preserve">benchmark but they cannot be benchmark plans.  Only BASIC plans can be benchmark.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CAAF04"/>
    <w:lvl w:ilvl="0">
      <w:numFmt w:val="bullet"/>
      <w:lvlText w:val="*"/>
      <w:lvlJc w:val="left"/>
    </w:lvl>
  </w:abstractNum>
  <w:abstractNum w:abstractNumId="1">
    <w:nsid w:val="0C460AD6"/>
    <w:multiLevelType w:val="hybridMultilevel"/>
    <w:tmpl w:val="AE92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F33"/>
    <w:multiLevelType w:val="hybridMultilevel"/>
    <w:tmpl w:val="3FB44212"/>
    <w:lvl w:ilvl="0" w:tplc="2BF83ACA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474E1"/>
    <w:multiLevelType w:val="multilevel"/>
    <w:tmpl w:val="CA466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44D6828"/>
    <w:multiLevelType w:val="hybridMultilevel"/>
    <w:tmpl w:val="1D0230D4"/>
    <w:lvl w:ilvl="0" w:tplc="7D0475D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29125136"/>
    <w:multiLevelType w:val="hybridMultilevel"/>
    <w:tmpl w:val="97A89A7A"/>
    <w:lvl w:ilvl="0" w:tplc="D61C9A50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94097"/>
    <w:multiLevelType w:val="hybridMultilevel"/>
    <w:tmpl w:val="26724C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35BF2CB4"/>
    <w:multiLevelType w:val="multilevel"/>
    <w:tmpl w:val="5568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AB5BCE"/>
    <w:multiLevelType w:val="hybridMultilevel"/>
    <w:tmpl w:val="8C8A19F4"/>
    <w:lvl w:ilvl="0" w:tplc="2BB23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64DC1525"/>
    <w:multiLevelType w:val="hybridMultilevel"/>
    <w:tmpl w:val="A5E26354"/>
    <w:lvl w:ilvl="0" w:tplc="D04ED9BC">
      <w:start w:val="87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C7FF2"/>
    <w:multiLevelType w:val="hybridMultilevel"/>
    <w:tmpl w:val="747E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E5309"/>
    <w:multiLevelType w:val="hybridMultilevel"/>
    <w:tmpl w:val="6BC24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1449AA"/>
    <w:multiLevelType w:val="hybridMultilevel"/>
    <w:tmpl w:val="CA4660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908" w:allStyles="0" w:customStyles="0" w:latentStyles="0" w:stylesInUse="1" w:headingStyles="0" w:numberingStyles="0" w:tableStyles="0" w:directFormattingOnRuns="1" w:directFormattingOnParagraphs="0" w:directFormattingOnNumbering="0" w:directFormattingOnTables="1" w:clearFormatting="0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BD"/>
    <w:rsid w:val="00020AE8"/>
    <w:rsid w:val="00040D97"/>
    <w:rsid w:val="00042861"/>
    <w:rsid w:val="000B5D59"/>
    <w:rsid w:val="00111465"/>
    <w:rsid w:val="00127198"/>
    <w:rsid w:val="0013344C"/>
    <w:rsid w:val="0013731C"/>
    <w:rsid w:val="00151C63"/>
    <w:rsid w:val="0018118F"/>
    <w:rsid w:val="001B2CD4"/>
    <w:rsid w:val="001C7C20"/>
    <w:rsid w:val="001D2B99"/>
    <w:rsid w:val="001D411F"/>
    <w:rsid w:val="00225B32"/>
    <w:rsid w:val="00231AFF"/>
    <w:rsid w:val="00293F10"/>
    <w:rsid w:val="002958A8"/>
    <w:rsid w:val="002B6853"/>
    <w:rsid w:val="002D6663"/>
    <w:rsid w:val="00336091"/>
    <w:rsid w:val="0037102B"/>
    <w:rsid w:val="00386148"/>
    <w:rsid w:val="00394224"/>
    <w:rsid w:val="003C2A2A"/>
    <w:rsid w:val="003D258E"/>
    <w:rsid w:val="00410C28"/>
    <w:rsid w:val="00412088"/>
    <w:rsid w:val="00415583"/>
    <w:rsid w:val="00415999"/>
    <w:rsid w:val="004223FC"/>
    <w:rsid w:val="00435EA4"/>
    <w:rsid w:val="00443574"/>
    <w:rsid w:val="004440EA"/>
    <w:rsid w:val="00476AC9"/>
    <w:rsid w:val="005072EA"/>
    <w:rsid w:val="00524581"/>
    <w:rsid w:val="00561B45"/>
    <w:rsid w:val="00582F8B"/>
    <w:rsid w:val="00586C56"/>
    <w:rsid w:val="005A4D58"/>
    <w:rsid w:val="005B0DD5"/>
    <w:rsid w:val="005C372D"/>
    <w:rsid w:val="00612496"/>
    <w:rsid w:val="00615A5D"/>
    <w:rsid w:val="00654F10"/>
    <w:rsid w:val="00662922"/>
    <w:rsid w:val="00666A98"/>
    <w:rsid w:val="006C4BD8"/>
    <w:rsid w:val="006D2C37"/>
    <w:rsid w:val="006E09C1"/>
    <w:rsid w:val="006E2536"/>
    <w:rsid w:val="006F46F9"/>
    <w:rsid w:val="00714BD5"/>
    <w:rsid w:val="007B27C0"/>
    <w:rsid w:val="00851946"/>
    <w:rsid w:val="008675E2"/>
    <w:rsid w:val="0089735D"/>
    <w:rsid w:val="008B2195"/>
    <w:rsid w:val="008C7763"/>
    <w:rsid w:val="008E3A70"/>
    <w:rsid w:val="008E3BD3"/>
    <w:rsid w:val="008E5BE2"/>
    <w:rsid w:val="008F51ED"/>
    <w:rsid w:val="009201F3"/>
    <w:rsid w:val="00954E4E"/>
    <w:rsid w:val="00987E53"/>
    <w:rsid w:val="00994738"/>
    <w:rsid w:val="00A069CA"/>
    <w:rsid w:val="00A33204"/>
    <w:rsid w:val="00A36B5E"/>
    <w:rsid w:val="00A878F2"/>
    <w:rsid w:val="00AC1186"/>
    <w:rsid w:val="00AF0497"/>
    <w:rsid w:val="00B0675D"/>
    <w:rsid w:val="00B35BAB"/>
    <w:rsid w:val="00B430D8"/>
    <w:rsid w:val="00B43F52"/>
    <w:rsid w:val="00B73258"/>
    <w:rsid w:val="00B953DC"/>
    <w:rsid w:val="00BC0DDA"/>
    <w:rsid w:val="00BD448F"/>
    <w:rsid w:val="00BE49B0"/>
    <w:rsid w:val="00C20BF2"/>
    <w:rsid w:val="00C516D8"/>
    <w:rsid w:val="00C806F2"/>
    <w:rsid w:val="00CC0B77"/>
    <w:rsid w:val="00CF0483"/>
    <w:rsid w:val="00D20452"/>
    <w:rsid w:val="00D327A0"/>
    <w:rsid w:val="00D4076E"/>
    <w:rsid w:val="00D51706"/>
    <w:rsid w:val="00D55A55"/>
    <w:rsid w:val="00D80DBF"/>
    <w:rsid w:val="00D840BD"/>
    <w:rsid w:val="00D9146B"/>
    <w:rsid w:val="00E04837"/>
    <w:rsid w:val="00E2434E"/>
    <w:rsid w:val="00E302C8"/>
    <w:rsid w:val="00EE6DBA"/>
    <w:rsid w:val="00EF73BA"/>
    <w:rsid w:val="00F0283A"/>
    <w:rsid w:val="00F11D5F"/>
    <w:rsid w:val="00F27372"/>
    <w:rsid w:val="00F4792F"/>
    <w:rsid w:val="00F518B1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customStyle="1" w:styleId="phone">
    <w:name w:val="phone"/>
    <w:basedOn w:val="DefaultParagraphFont"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1B2CD4"/>
    <w:pPr>
      <w:ind w:left="720"/>
      <w:contextualSpacing/>
    </w:pPr>
  </w:style>
  <w:style w:type="character" w:styleId="FollowedHyperlink">
    <w:name w:val="FollowedHyperlink"/>
    <w:basedOn w:val="DefaultParagraphFont"/>
    <w:rsid w:val="006F46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customStyle="1" w:styleId="phone">
    <w:name w:val="phone"/>
    <w:basedOn w:val="DefaultParagraphFont"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1B2CD4"/>
    <w:pPr>
      <w:ind w:left="720"/>
      <w:contextualSpacing/>
    </w:pPr>
  </w:style>
  <w:style w:type="character" w:styleId="FollowedHyperlink">
    <w:name w:val="FollowedHyperlink"/>
    <w:basedOn w:val="DefaultParagraphFont"/>
    <w:rsid w:val="006F4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FLRP@nylag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dicare.gov/forms-help-and-resources/mail-about-medicare/mail-about-medic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89A5-F590-42E9-BCA2-4F724CF7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Medicare Part D Benchmark Prescription Drug Plans (PDP)</vt:lpstr>
    </vt:vector>
  </TitlesOfParts>
  <Company>Selfhelp</Company>
  <LinksUpToDate>false</LinksUpToDate>
  <CharactersWithSpaces>1827</CharactersWithSpaces>
  <SharedDoc>false</SharedDoc>
  <HLinks>
    <vt:vector size="12" baseType="variant"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http://wnylc.com/health/download/283/</vt:lpwstr>
      </vt:variant>
      <vt:variant>
        <vt:lpwstr/>
      </vt:variant>
      <vt:variant>
        <vt:i4>7995451</vt:i4>
      </vt:variant>
      <vt:variant>
        <vt:i4>0</vt:i4>
      </vt:variant>
      <vt:variant>
        <vt:i4>0</vt:i4>
      </vt:variant>
      <vt:variant>
        <vt:i4>5</vt:i4>
      </vt:variant>
      <vt:variant>
        <vt:lpwstr>http://www.cms.gov/Medicare/Prescription-Drug-Coverage/LimitedIncomeandResources/downloads/2013Mailings.pdf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Medicare Part D Benchmark Prescription Drug Plans (PDP)</dc:title>
  <dc:creator>Carolyn B Sharzer</dc:creator>
  <cp:lastModifiedBy>Hayley Rein</cp:lastModifiedBy>
  <cp:revision>4</cp:revision>
  <cp:lastPrinted>2015-09-25T19:15:00Z</cp:lastPrinted>
  <dcterms:created xsi:type="dcterms:W3CDTF">2019-09-24T20:52:00Z</dcterms:created>
  <dcterms:modified xsi:type="dcterms:W3CDTF">2019-10-02T20:49:00Z</dcterms:modified>
</cp:coreProperties>
</file>